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A3D9F26" w:rsidR="00C57FA5" w:rsidRPr="00327CC1" w:rsidRDefault="00EC1DE7">
      <w:pPr>
        <w:jc w:val="center"/>
        <w:rPr>
          <w:rFonts w:ascii="Arial" w:hAnsi="Arial" w:cs="Arial"/>
          <w:b/>
          <w:bCs/>
        </w:rPr>
      </w:pPr>
      <w:r>
        <w:rPr>
          <w:rFonts w:ascii="Arial" w:hAnsi="Arial" w:cs="Arial"/>
          <w:b/>
          <w:bCs/>
        </w:rPr>
        <w:t>Felsőpáhok Község</w:t>
      </w:r>
      <w:bookmarkStart w:id="0" w:name="_GoBack"/>
      <w:bookmarkEnd w:id="0"/>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EC1DE7"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EC1DE7"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C1DE7"/>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2722</Words>
  <Characters>20241</Characters>
  <Application>Microsoft Office Word</Application>
  <DocSecurity>4</DocSecurity>
  <Lines>168</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22918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Felsőpáhok Önkormányzat</cp:lastModifiedBy>
  <cp:revision>2</cp:revision>
  <cp:lastPrinted>2014-06-20T15:38:00Z</cp:lastPrinted>
  <dcterms:created xsi:type="dcterms:W3CDTF">2019-10-07T07:29:00Z</dcterms:created>
  <dcterms:modified xsi:type="dcterms:W3CDTF">2019-10-07T07:29:00Z</dcterms:modified>
</cp:coreProperties>
</file>